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1"/>
        <w:spacing w:after="0" w:line="240" w:lineRule="auto"/>
        <w:ind w:left="0" w:firstLine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ПОЛОЖЕНИЕ</w:t>
      </w:r>
    </w:p>
    <w:p>
      <w:pPr>
        <w:pStyle w:val="List Paragraph1"/>
        <w:spacing w:after="0" w:line="280" w:lineRule="exact"/>
        <w:ind w:left="0" w:right="4536" w:firstLine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о проведении открытого конкурса </w:t>
      </w:r>
    </w:p>
    <w:p>
      <w:pPr>
        <w:pStyle w:val="List Paragraph1"/>
        <w:spacing w:after="0" w:line="280" w:lineRule="exact"/>
        <w:ind w:left="0" w:right="4536" w:firstLine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на разработку талисмана </w:t>
      </w:r>
    </w:p>
    <w:p>
      <w:pPr>
        <w:pStyle w:val="List Paragraph1"/>
        <w:spacing w:after="0" w:line="280" w:lineRule="exact"/>
        <w:ind w:left="0" w:right="4536" w:firstLine="0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Чемпионата мира по хоккею с шайбой ИИХФ</w:t>
      </w:r>
    </w:p>
    <w:p>
      <w:pPr>
        <w:pStyle w:val="List Paragraph1"/>
        <w:spacing w:after="0" w:line="280" w:lineRule="exact"/>
        <w:ind w:left="0" w:right="4536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spacing w:after="0" w:line="280" w:lineRule="exact"/>
        <w:ind w:left="0" w:right="4536" w:firstLine="0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ОБЩИЕ ПОЛОЖЕНИЯ</w:t>
      </w:r>
    </w:p>
    <w:p>
      <w:pPr>
        <w:pStyle w:val="List Paragraph1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Организаторами открытого международного конкурса на разработку талисмана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Чемпионата мира по хоккею с шайбой ИИХФ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далее – конкурс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являются Унитарное предприятие «Дирекция по проведению чемпионата мира по хоккею с шайбой </w:t>
      </w:r>
      <w:r>
        <w:rPr>
          <w:rFonts w:ascii="Times New Roman" w:hAnsi="Times New Roman"/>
          <w:sz w:val="30"/>
          <w:szCs w:val="30"/>
          <w:rtl w:val="0"/>
          <w:lang w:val="ru-RU"/>
        </w:rPr>
        <w:t>2021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»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Республика Беларусь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и Общество с ограниченной ответственностью «</w:t>
      </w:r>
      <w:r>
        <w:rPr>
          <w:rFonts w:ascii="Times New Roman" w:hAnsi="Times New Roman"/>
          <w:sz w:val="30"/>
          <w:szCs w:val="30"/>
          <w:rtl w:val="0"/>
          <w:lang w:val="ru-RU"/>
        </w:rPr>
        <w:t>Hokeja Akademija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»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Латвийская Республика</w:t>
      </w:r>
      <w:r>
        <w:rPr>
          <w:rFonts w:ascii="Times New Roman" w:hAnsi="Times New Roman"/>
          <w:sz w:val="30"/>
          <w:szCs w:val="30"/>
          <w:rtl w:val="0"/>
          <w:lang w:val="ru-RU"/>
        </w:rPr>
        <w:t>) 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далее – Организаторы</w:t>
      </w:r>
      <w:r>
        <w:rPr>
          <w:rFonts w:ascii="Times New Roman" w:hAnsi="Times New Roman"/>
          <w:sz w:val="30"/>
          <w:szCs w:val="30"/>
          <w:rtl w:val="0"/>
          <w:lang w:val="ru-RU"/>
        </w:rPr>
        <w:t>).</w:t>
      </w:r>
    </w:p>
    <w:p>
      <w:pPr>
        <w:pStyle w:val="List Paragraph1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Цель проведения конкурса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: 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определение талисмана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Чемпионата мира по хоккею с шайбой ИИХФ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далее – Талисман</w:t>
      </w:r>
      <w:r>
        <w:rPr>
          <w:rFonts w:ascii="Times New Roman" w:hAnsi="Times New Roman"/>
          <w:sz w:val="30"/>
          <w:szCs w:val="30"/>
          <w:rtl w:val="0"/>
          <w:lang w:val="ru-RU"/>
        </w:rPr>
        <w:t>).</w:t>
      </w:r>
    </w:p>
    <w:p>
      <w:pPr>
        <w:pStyle w:val="Обычный"/>
        <w:spacing w:after="0" w:line="240" w:lineRule="auto"/>
        <w:ind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Задачи</w:t>
      </w:r>
      <w:r>
        <w:rPr>
          <w:rFonts w:ascii="Times New Roman" w:hAnsi="Times New Roman"/>
          <w:sz w:val="30"/>
          <w:szCs w:val="30"/>
          <w:rtl w:val="0"/>
          <w:lang w:val="ru-RU"/>
        </w:rPr>
        <w:t>: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привлечение внимания общественности и средств массовой информации к проведению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Чемпионата мира по хоккею с шайбой ИИХФ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далее – Чемпионат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создание насыщенного информационного фона вокруг Чемпионата</w:t>
      </w:r>
      <w:r>
        <w:rPr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pacing w:val="-8"/>
          <w:sz w:val="30"/>
          <w:szCs w:val="30"/>
        </w:rPr>
      </w:pPr>
      <w:r>
        <w:rPr>
          <w:rFonts w:ascii="Times New Roman" w:hAnsi="Times New Roman" w:hint="default"/>
          <w:spacing w:val="-8"/>
          <w:sz w:val="30"/>
          <w:szCs w:val="30"/>
          <w:rtl w:val="0"/>
          <w:lang w:val="ru-RU"/>
        </w:rPr>
        <w:t>популяризация хоккея с шайбой</w:t>
      </w:r>
      <w:r>
        <w:rPr>
          <w:rFonts w:ascii="Times New Roman" w:hAnsi="Times New Roman"/>
          <w:spacing w:val="-8"/>
          <w:sz w:val="30"/>
          <w:szCs w:val="30"/>
          <w:rtl w:val="0"/>
          <w:lang w:val="ru-RU"/>
        </w:rPr>
        <w:t>;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укрепление имиджа Организаторов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List Paragraph1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При проведении конкурса Организаторы руководствуются следующими понятиями</w:t>
      </w:r>
      <w:r>
        <w:rPr>
          <w:rFonts w:ascii="Times New Roman" w:hAnsi="Times New Roman"/>
          <w:sz w:val="30"/>
          <w:szCs w:val="30"/>
          <w:rtl w:val="0"/>
          <w:lang w:val="ru-RU"/>
        </w:rPr>
        <w:t>: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«лауреат конкурса» – участник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который отвечает требованиям конкурса и подал конкурсное предложение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занявшее </w:t>
      </w:r>
      <w:r>
        <w:rPr>
          <w:rFonts w:ascii="Times New Roman" w:hAnsi="Times New Roman"/>
          <w:sz w:val="30"/>
          <w:szCs w:val="30"/>
          <w:rtl w:val="0"/>
          <w:lang w:val="ru-RU"/>
        </w:rPr>
        <w:t>2-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е или </w:t>
      </w:r>
      <w:r>
        <w:rPr>
          <w:rFonts w:ascii="Times New Roman" w:hAnsi="Times New Roman"/>
          <w:sz w:val="30"/>
          <w:szCs w:val="30"/>
          <w:rtl w:val="0"/>
          <w:lang w:val="ru-RU"/>
        </w:rPr>
        <w:t>3-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е место в Конкурсе по мнению конкурсной комиссии открытого конкурса на разработку талисмана Чемпионата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далее – Конкурсная комиссия</w:t>
      </w:r>
      <w:r>
        <w:rPr>
          <w:rFonts w:ascii="Times New Roman" w:hAnsi="Times New Roman"/>
          <w:sz w:val="30"/>
          <w:szCs w:val="30"/>
          <w:rtl w:val="0"/>
          <w:lang w:val="ru-RU"/>
        </w:rPr>
        <w:t>);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«победитель конкурса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победитель» – участник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который отвечает требованиям конкурса и подал наилучшее конкурсное предложение по мнению Конкурсной комиссии</w:t>
      </w:r>
      <w:r>
        <w:rPr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«Талисман» – элемент символики Чемпионата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представляющий собой художественный образ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выраженный графически в виде антропоморфного персонажа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персонажей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олицетворяющего собой страны</w:t>
      </w:r>
      <w:r>
        <w:rPr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организаторы Чемпионата </w:t>
      </w:r>
      <w:r>
        <w:rPr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Республика Беларусь и Латвийская Республика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и соответствующего общей концепции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стилю и духу Чемпионата</w:t>
      </w:r>
      <w:r>
        <w:rPr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«участник конкурса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участник»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физическое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юридическое лицо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авторский коллектив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являющееся автором конкурсной работы и участвующее в конкурсе путем подачи конкурсных материалов в соответствии с настоящим положением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outline w:val="0"/>
          <w:color w:val="ff0000"/>
          <w:sz w:val="30"/>
          <w:szCs w:val="30"/>
          <w:rtl w:val="0"/>
          <w:lang w:val="ru-RU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>Конкурс является открытым</w:t>
      </w:r>
      <w:r>
        <w:rPr>
          <w:rFonts w:ascii="Times New Roman" w:hAnsi="Times New Roman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>т</w:t>
      </w:r>
      <w:r>
        <w:rPr>
          <w:rFonts w:ascii="Times New Roman" w:hAnsi="Times New Roman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>е</w:t>
      </w:r>
      <w:r>
        <w:rPr>
          <w:rFonts w:ascii="Times New Roman" w:hAnsi="Times New Roman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>предложение Организаторов принять участие в конкурсе обращено ко всем желающим</w:t>
      </w:r>
      <w:r>
        <w:rPr>
          <w:rFonts w:ascii="Times New Roman" w:hAnsi="Times New Roman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 xml:space="preserve">в том числе независимо от страны жительства </w:t>
      </w:r>
      <w:r>
        <w:rPr>
          <w:rFonts w:ascii="Times New Roman" w:hAnsi="Times New Roman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>нахождения</w:t>
      </w:r>
      <w:r>
        <w:rPr>
          <w:rFonts w:ascii="Times New Roman" w:hAnsi="Times New Roman"/>
          <w:outline w:val="0"/>
          <w:color w:val="000000"/>
          <w:sz w:val="30"/>
          <w:szCs w:val="3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List Paragraph1"/>
        <w:numPr>
          <w:ilvl w:val="1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Участник конкурса несет все расходы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связанные с подготовкой и представлением его конкурсного предложения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а Организаторы в любом случае не являются ответственными за эти расходы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независимо от результата конкурсного процесса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spacing w:after="0" w:line="240" w:lineRule="auto"/>
        <w:ind w:left="0" w:firstLine="851"/>
        <w:jc w:val="both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ПОРЯДОК ОРГАНИЗАЦИИ И ПРОВЕДЕНИЯ КОНКУРСА 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Конкурс считается открытым с «</w:t>
      </w:r>
      <w:r>
        <w:rPr>
          <w:rFonts w:ascii="Times New Roman" w:hAnsi="Times New Roman"/>
          <w:sz w:val="30"/>
          <w:szCs w:val="30"/>
          <w:rtl w:val="0"/>
          <w:lang w:val="ru-RU"/>
        </w:rPr>
        <w:t>18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» сентября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года после официального опубликования настоящего положения на русском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латышском и английском языках на интернет</w:t>
      </w:r>
      <w:r>
        <w:rPr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сайтах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30"/>
          <w:szCs w:val="3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30"/>
          <w:szCs w:val="30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"http://www.hockey.by"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30"/>
          <w:szCs w:val="3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</w:t>
      </w:r>
      <w:r>
        <w:rPr>
          <w:rStyle w:val="None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hockey</w:t>
      </w:r>
      <w:r>
        <w:rPr>
          <w:rStyle w:val="None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by</w:t>
      </w:r>
      <w:r>
        <w:rPr>
          <w:rFonts w:ascii="Times New Roman" w:cs="Times New Roman" w:hAnsi="Times New Roman" w:eastAsia="Times New Roman"/>
          <w:sz w:val="30"/>
          <w:szCs w:val="30"/>
        </w:rPr>
        <w:fldChar w:fldCharType="end" w:fldLock="0"/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 и </w: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30"/>
          <w:szCs w:val="3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30"/>
          <w:szCs w:val="30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"http://www.lhf.lv"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563c1"/>
          <w:sz w:val="30"/>
          <w:szCs w:val="30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</w:t>
      </w:r>
      <w:r>
        <w:rPr>
          <w:rStyle w:val="None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lhf</w:t>
      </w:r>
      <w:r>
        <w:rPr>
          <w:rStyle w:val="None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ru-RU"/>
          <w14:textFill>
            <w14:solidFill>
              <w14:srgbClr w14:val="0563C1"/>
            </w14:solidFill>
          </w14:textFill>
        </w:rPr>
        <w:t>.</w:t>
      </w:r>
      <w:r>
        <w:rPr>
          <w:rStyle w:val="Hyperlink.0"/>
          <w:rFonts w:ascii="Times New Roman" w:hAnsi="Times New Roman"/>
          <w:outline w:val="0"/>
          <w:color w:val="0563c1"/>
          <w:sz w:val="30"/>
          <w:szCs w:val="3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lv</w:t>
      </w:r>
      <w:r>
        <w:rPr>
          <w:rFonts w:ascii="Times New Roman" w:cs="Times New Roman" w:hAnsi="Times New Roman" w:eastAsia="Times New Roman"/>
          <w:sz w:val="30"/>
          <w:szCs w:val="30"/>
        </w:rPr>
        <w:fldChar w:fldCharType="end" w:fldLock="0"/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Конкурс проводится в два этапа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: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первый этап – прием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обработка и отбор конкурсных работ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второй этап – финальный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определение победителя и лауреатов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проведения первого этапа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«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18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сентября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по «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18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октября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проведения второго этапа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«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19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октября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 по «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8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декабря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2019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Сроки проведения этапа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(-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ов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конкурса могут быть изменены решением Организаторов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установленная продолжительность проведения первого этапа конкурса не может сокращена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участия в конкурсе необходимо направить Организаторам конкурса следующие конкурсные материалы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заявку на участие по форме согласно приложению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1;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конкурсную работу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краткую пояснительную записку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раскрывающую творческую идею автора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Конкурсная работа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графическое изображение Талисмана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должна быть представлена в электронной форме в виде завершенного цветного рисунка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выполненного в любой технике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включая компьютерную графику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Требования к электронной форме представления конкурсной работы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Формат файла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jpg,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psd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cdr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или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ai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Разрешение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менее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600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dpi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Размер файла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 более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 Mb.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Основные графические элементы Талисмана должны без потери распознаваемости воспроизводиться в любом размере – как на уменьшение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так и на увеличение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 также должны без потери распознаваемости быть пригодны к воспроизводству на любых носителях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бумага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картон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пластик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стекло и 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д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.).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Изображение Талисмана должно сопровождаться краткой пояснительной запиской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раскрывающей творческую идею автора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 также содержащей предложения в отношении имени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наименования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Талисмана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Участники конкурса направляют конкурсные материалы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файл с заявкой на участие и файл с конкурсной работой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электронным письмом на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адрес электронной почты Организаторов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Hyperlink.1"/>
          <w:rFonts w:ascii="Times New Roman" w:cs="Times New Roman" w:hAnsi="Times New Roman" w:eastAsia="Times New Roman"/>
          <w:sz w:val="30"/>
          <w:szCs w:val="30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30"/>
          <w:szCs w:val="30"/>
        </w:rPr>
        <w:instrText xml:space="preserve"> HYPERLINK "mailto:mascot@2021iihfwm.com"</w:instrText>
      </w:r>
      <w:r>
        <w:rPr>
          <w:rStyle w:val="Hyperlink.1"/>
          <w:rFonts w:ascii="Times New Roman" w:cs="Times New Roman" w:hAnsi="Times New Roman" w:eastAsia="Times New Roman"/>
          <w:sz w:val="30"/>
          <w:szCs w:val="30"/>
        </w:rPr>
        <w:fldChar w:fldCharType="separate" w:fldLock="0"/>
      </w:r>
      <w:r>
        <w:rPr>
          <w:rStyle w:val="Hyperlink.1"/>
          <w:rFonts w:ascii="Times New Roman" w:hAnsi="Times New Roman"/>
          <w:sz w:val="30"/>
          <w:szCs w:val="30"/>
          <w:rtl w:val="0"/>
          <w:lang w:val="ru-RU"/>
        </w:rPr>
        <w:t>mascot@2021iihfwm.com</w:t>
      </w:r>
      <w:r>
        <w:rPr>
          <w:rFonts w:ascii="Times New Roman" w:cs="Times New Roman" w:hAnsi="Times New Roman" w:eastAsia="Times New Roman"/>
          <w:sz w:val="30"/>
          <w:szCs w:val="30"/>
        </w:rPr>
        <w:fldChar w:fldCharType="end" w:fldLock="0"/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Тема электронного письма должна содержать слово «Конкурс»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Количество заявок на участие в конкурсе от одного участника не ограничивается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Организаторами не принимаются для участия в конкурсе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конкурсные материалы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поступившие вне периода проведения первого этапа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конкурсные материалы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не соответствующие условиям настоящего положения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Организаторы не возвращают полученные конкурсные работы участникам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КОНКУРСНАЯ КОМИССИЯ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Состав Конкурсной комиссии формируется и утверждается Организаторами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Конкурсная комиссия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: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рассматривает конкурсные работы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поступившие в течение первого этапа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; 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выносит решение о допуске конкурсных работ к финальному этапу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определяет победителя и двух лауреатов путем оценки конкурсных работ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том числе исходя из информации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которая содержится в поданных участником к рассмотрению материалах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ПОДВЕДЕНИЕ ИТОГОВ 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Объявление итогов конкурса состоится во время игры Чемпионата мира ИИХФ среди моложеных команд в дивизионе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1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А между сборными командами Республики Беларусь и Республики Латвия согласно расписанию турнира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предварительно «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10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» декабря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2019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года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адресу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Республика Беларусь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г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Минск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ул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Ташкентская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, 19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многофункциональный спортивно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развлекательный комплекс «Чижовка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Арена»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).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ИСПОЛЬЗОВАНИЕ КОНКУРСНЫХ РАБОТ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Направлением конкурсных материалов участник конкурса подтверждает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что согласен с условиями настоящего положения в полном объеме и без каких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либо изъятий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 изъявляет свою волю на наступление у Организаторов и участника конкурса соответствующих прав и обязанностей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предусмотренных настоящим положением и законодательством Республики Беларусь и Республики Латвия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также международными соглашениями указанных государств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связи с проведением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том числе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:</w:t>
      </w:r>
    </w:p>
    <w:p>
      <w:pPr>
        <w:pStyle w:val="List Paragraph1"/>
        <w:numPr>
          <w:ilvl w:val="2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направлением конкурсных материалов участник конкурса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подтверждает и гарантирует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является автором работы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что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 создании конкурсной работы соблюдены права третьих лиц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нарушения авторских и смежных прав в конкурсной работе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за нарушение несет участник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1"/>
        <w:numPr>
          <w:ilvl w:val="2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направлением конкурсных материалов участник конкурса безвозмездно предоставляет Организаторам неисключительное право на использование конкурсной работы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входящей в состав конкурсных материалов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том числе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воспроизведение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распространение оригинала или экземпляров конкурсной работы посредством продажи или иной передачи права собственности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публичный показ оригинала или экземпляров конкурсной работы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передача в эфир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передача по кабелю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иное сообщение произведения для всеобщего сведения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импорт экземпляров конкурсной работы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перевод конкурсной работы на другой язык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переработка конкурсной работы для создания производного произведения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иные возможные способы использования конкурсной работы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Определенная по итогам конкурса лучшая конкурсная работа может быть объявлена официальным талисманом Чемпионата после одобрения Международной федерацией хоккея с шайбой и ее коммерческим партнером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Организаторы вправе не объявлять лучшую конкурсную работу официальным талисманом Чемпионата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случае принятия решения об объявлении конкурсной работы официальным талисманом Чемпионата Организаторы либо определенное ими лицо приобретают преимущественное право на заключение с автором данной конкурсной работы договора о передаче исключительного права на нее с предоставлением автору вознаграждения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предусмотренного настоящим положением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Организаторы вправе не следовать предложению участника конкурса в отношении имени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наименования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Талисмана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Организаторы вправе определить имя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наименование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Талисмана самостоятельно способом по своему выбору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том числе путем проведения соответствующего публичного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Организаторы вправе использовать полученную от участника конкурса конкурсную работу по своему усмотрению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том числе вправе доработать ее с учетом рекомендаций членов жюри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Международной федерации хоккея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коммерческого партнера Международной федерации хоккея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Проведение конкурса освещается в средствах массовой информации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сети Интернет и иных информационных ресурсах без дополнительного согласия участников и без уплаты им вознаграждения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НАГРАЖДЕНИЕ ПОБЕДИТЕЛЕЙ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Победитель конкурса награждается комплектом билетов на две персоны на любые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5 (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пять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)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игр Чемпионата по выбору победителя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также экскурсией на две персоны по подтрибунным помещениям официальной арены Чемпионата перед игрой Чемпионата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Лауреаты конкурса награждаются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за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2-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ое место – билетами на две персоны на любые три игры Чемпионата до ½ финала включительно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;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за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3-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 место – билетами на две персоны на любые две игры групповой стадии Чемпионата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 решению Организаторов могут быть учреждены дополнительные призы для участников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занявших места с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4-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го по 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10-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. </w:t>
      </w: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spacing w:after="0" w:line="240" w:lineRule="auto"/>
        <w:ind w:left="0" w:firstLine="851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List Paragraph1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ОБРАБОТКА ПЕРСОНАЛЬНЫХ ДАННЫХ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При подаче заявки на участие в конкурсе участник несет ответственность не только за точность предоставленных организаторам персональных  данных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но и за  объем предоставленных данных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Обработка персональных данных участников конкурса ведется в следующем объеме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: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фамилия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имя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отчество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контактный номер телефона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адрес электронной почты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numPr>
          <w:ilvl w:val="1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30"/>
          <w:szCs w:val="30"/>
          <w:rtl w:val="0"/>
          <w:lang w:val="ru-RU"/>
        </w:rPr>
      </w:pP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Обработка персональных данных производится с целью идентификации и персонализации участников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победителя и лауреатов конкурса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а также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в случае необходимости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обеспечения возможности связаться с ними лично</w:t>
      </w: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List Paragraph1"/>
        <w:spacing w:after="0" w:line="240" w:lineRule="auto"/>
        <w:ind w:left="0" w:firstLine="0"/>
        <w:jc w:val="both"/>
        <w:rPr>
          <w:rStyle w:val="None"/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Обычный"/>
        <w:ind w:firstLine="851"/>
        <w:jc w:val="right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Обычный"/>
        <w:ind w:firstLine="851"/>
        <w:jc w:val="right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Приложение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</w:p>
    <w:p>
      <w:pPr>
        <w:pStyle w:val="Обычный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</w:p>
    <w:p>
      <w:pPr>
        <w:pStyle w:val="Обычный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участие в открытом конкурсе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 xml:space="preserve">на разработку талисмана </w:t>
      </w:r>
    </w:p>
    <w:p>
      <w:pPr>
        <w:pStyle w:val="Обычный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30"/>
          <w:szCs w:val="30"/>
        </w:rPr>
      </w:pPr>
      <w:r>
        <w:rPr>
          <w:rStyle w:val="None"/>
          <w:rFonts w:ascii="Times New Roman" w:hAnsi="Times New Roman"/>
          <w:sz w:val="30"/>
          <w:szCs w:val="30"/>
          <w:rtl w:val="0"/>
          <w:lang w:val="ru-RU"/>
        </w:rPr>
        <w:t xml:space="preserve">2021 </w:t>
      </w:r>
      <w:r>
        <w:rPr>
          <w:rStyle w:val="None"/>
          <w:rFonts w:ascii="Times New Roman" w:hAnsi="Times New Roman" w:hint="default"/>
          <w:sz w:val="30"/>
          <w:szCs w:val="30"/>
          <w:rtl w:val="0"/>
          <w:lang w:val="ru-RU"/>
        </w:rPr>
        <w:t>Чемпионата мира по хоккею с шайбой ИИХФ</w:t>
      </w:r>
    </w:p>
    <w:p>
      <w:pPr>
        <w:pStyle w:val="Обычный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67"/>
        <w:gridCol w:w="5782"/>
      </w:tblGrid>
      <w:tr>
        <w:tblPrEx>
          <w:shd w:val="clear" w:color="auto" w:fill="ced7e7"/>
        </w:tblPrEx>
        <w:trPr>
          <w:trHeight w:val="1115" w:hRule="atLeast"/>
        </w:trPr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None"/>
                <w:rFonts w:ascii="Times New Roman" w:hAnsi="Times New Roman" w:hint="default"/>
                <w:sz w:val="30"/>
                <w:szCs w:val="30"/>
                <w:rtl w:val="0"/>
                <w:lang w:val="ru-RU"/>
              </w:rPr>
              <w:t>ФИО участника</w:t>
            </w:r>
            <w:r>
              <w:rPr>
                <w:rStyle w:val="None"/>
                <w:rFonts w:ascii="Times New Roman" w:hAnsi="Times New Roman"/>
                <w:sz w:val="30"/>
                <w:szCs w:val="30"/>
                <w:rtl w:val="0"/>
                <w:lang w:val="ru-RU"/>
              </w:rPr>
              <w:t>/</w:t>
            </w:r>
            <w:r>
              <w:rPr>
                <w:rStyle w:val="None"/>
                <w:rFonts w:ascii="Calibri" w:cs="Calibri" w:hAnsi="Calibri" w:eastAsia="Calibri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Style w:val="None"/>
                <w:rFonts w:ascii="Times New Roman" w:hAnsi="Times New Roman" w:hint="default"/>
                <w:sz w:val="30"/>
                <w:szCs w:val="30"/>
                <w:rtl w:val="0"/>
                <w:lang w:val="ru-RU"/>
              </w:rPr>
              <w:t>ов</w:t>
            </w:r>
            <w:r>
              <w:rPr>
                <w:rStyle w:val="None"/>
                <w:rFonts w:ascii="Times New Roman" w:hAnsi="Times New Roman"/>
                <w:sz w:val="30"/>
                <w:szCs w:val="30"/>
                <w:rtl w:val="0"/>
                <w:lang w:val="ru-RU"/>
              </w:rPr>
              <w:t xml:space="preserve">* / </w:t>
            </w:r>
            <w:r>
              <w:rPr>
                <w:rStyle w:val="None"/>
                <w:rFonts w:ascii="Times New Roman" w:hAnsi="Times New Roman" w:hint="default"/>
                <w:sz w:val="30"/>
                <w:szCs w:val="30"/>
                <w:rtl w:val="0"/>
                <w:lang w:val="ru-RU"/>
              </w:rPr>
              <w:t>Наименование юридического лица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None"/>
                <w:rFonts w:ascii="Times New Roman" w:hAnsi="Times New Roman" w:hint="default"/>
                <w:sz w:val="30"/>
                <w:szCs w:val="30"/>
                <w:rtl w:val="0"/>
                <w:lang w:val="ru-RU"/>
              </w:rPr>
              <w:t>Контактный телефон</w:t>
            </w:r>
            <w:r>
              <w:rPr>
                <w:rStyle w:val="None"/>
                <w:rFonts w:ascii="Times New Roman" w:hAnsi="Times New Roman"/>
                <w:sz w:val="30"/>
                <w:szCs w:val="30"/>
                <w:rtl w:val="0"/>
                <w:lang w:val="ru-RU"/>
              </w:rPr>
              <w:t>*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6" w:hRule="atLeast"/>
        </w:trPr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rStyle w:val="None"/>
                <w:rFonts w:ascii="Times New Roman" w:hAnsi="Times New Roman" w:hint="default"/>
                <w:sz w:val="30"/>
                <w:szCs w:val="30"/>
                <w:rtl w:val="0"/>
                <w:lang w:val="ru-RU"/>
              </w:rPr>
              <w:t>Адрес электронной почты</w:t>
            </w:r>
            <w:r>
              <w:rPr>
                <w:rStyle w:val="None"/>
                <w:rFonts w:ascii="Times New Roman" w:hAnsi="Times New Roman"/>
                <w:sz w:val="30"/>
                <w:szCs w:val="30"/>
                <w:rtl w:val="0"/>
                <w:lang w:val="ru-RU"/>
              </w:rPr>
              <w:t>*</w:t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5" w:hRule="atLeast"/>
        </w:trPr>
        <w:tc>
          <w:tcPr>
            <w:tcW w:type="dxa" w:w="3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80" w:lineRule="exact"/>
              <w:rPr>
                <w:rStyle w:val="None"/>
                <w:rFonts w:ascii="Times New Roman" w:cs="Times New Roman" w:hAnsi="Times New Roman" w:eastAsia="Times New Roman"/>
                <w:sz w:val="30"/>
                <w:szCs w:val="30"/>
              </w:rPr>
            </w:pPr>
            <w:r>
              <w:rPr>
                <w:rStyle w:val="None"/>
                <w:rFonts w:ascii="Times New Roman" w:hAnsi="Times New Roman" w:hint="default"/>
                <w:sz w:val="30"/>
                <w:szCs w:val="30"/>
                <w:rtl w:val="0"/>
                <w:lang w:val="ru-RU"/>
              </w:rPr>
              <w:t xml:space="preserve">Краткая пояснительная записка к проекту талисмана </w:t>
            </w:r>
          </w:p>
          <w:p>
            <w:pPr>
              <w:pStyle w:val="Обычный"/>
              <w:rPr>
                <w:rStyle w:val="None"/>
                <w:rFonts w:ascii="Times New Roman" w:cs="Times New Roman" w:hAnsi="Times New Roman" w:eastAsia="Times New Roman"/>
                <w:sz w:val="30"/>
                <w:szCs w:val="30"/>
                <w:lang w:val="ru-RU"/>
              </w:rPr>
            </w:pPr>
          </w:p>
          <w:p>
            <w:pPr>
              <w:pStyle w:val="Обычный"/>
              <w:rPr>
                <w:rStyle w:val="None"/>
                <w:rFonts w:ascii="Times New Roman" w:cs="Times New Roman" w:hAnsi="Times New Roman" w:eastAsia="Times New Roman"/>
                <w:sz w:val="30"/>
                <w:szCs w:val="30"/>
                <w:lang w:val="ru-RU"/>
              </w:rPr>
            </w:pPr>
          </w:p>
          <w:p>
            <w:pPr>
              <w:pStyle w:val="Обычный"/>
            </w:pPr>
            <w:r>
              <w:rPr>
                <w:rStyle w:val="None"/>
                <w:rFonts w:ascii="Times New Roman" w:cs="Times New Roman" w:hAnsi="Times New Roman" w:eastAsia="Times New Roman"/>
                <w:sz w:val="30"/>
                <w:szCs w:val="30"/>
                <w:lang w:val="ru-RU"/>
              </w:rPr>
            </w:r>
          </w:p>
        </w:tc>
        <w:tc>
          <w:tcPr>
            <w:tcW w:type="dxa" w:w="57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None"/>
                <w:rFonts w:ascii="Times New Roman" w:cs="Times New Roman" w:hAnsi="Times New Roman" w:eastAsia="Times New Roman"/>
                <w:sz w:val="30"/>
                <w:szCs w:val="30"/>
                <w:lang w:val="ru-RU"/>
              </w:rPr>
            </w:pPr>
          </w:p>
          <w:p>
            <w:pPr>
              <w:pStyle w:val="Обычный"/>
              <w:jc w:val="both"/>
            </w:pPr>
            <w:r>
              <w:rPr>
                <w:rStyle w:val="None"/>
                <w:rFonts w:ascii="Times New Roman" w:cs="Times New Roman" w:hAnsi="Times New Roman" w:eastAsia="Times New Roman"/>
                <w:sz w:val="30"/>
                <w:szCs w:val="30"/>
                <w:lang w:val="ru-RU"/>
              </w:rPr>
            </w:r>
          </w:p>
        </w:tc>
      </w:tr>
    </w:tbl>
    <w:p>
      <w:pPr>
        <w:pStyle w:val="Обычный"/>
        <w:widowControl w:val="0"/>
        <w:spacing w:after="0" w:line="240" w:lineRule="auto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Обычный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условиями конкурса ознакомлен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(-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согласен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(-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 ________________</w:t>
      </w:r>
    </w:p>
    <w:p>
      <w:pPr>
        <w:pStyle w:val="Обычный"/>
        <w:tabs>
          <w:tab w:val="left" w:pos="7740"/>
        </w:tabs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ab/>
        <w:t>(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Согласен передать свои персональные данные для обработки согласно целям указанным в положении о проведении открытого конкурса на разработку талисмана 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2021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Чемпионата мира по хоккею с шайбой ИИХФ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 подлинность указанных мною персональных данных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 же то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они не затрагивают интересы других лиц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несу полную ответственность за подачу заведомо ложной информации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________________</w:t>
      </w:r>
    </w:p>
    <w:p>
      <w:pPr>
        <w:pStyle w:val="Обычный"/>
        <w:jc w:val="both"/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New Roman" w:cs="Times New Roman" w:hAnsi="Times New Roman" w:eastAsia="Times New Roman"/>
          <w:outline w:val="0"/>
          <w:color w:val="00000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  <w:tab/>
        <w:t>(</w:t>
      </w:r>
      <w:r>
        <w:rPr>
          <w:rStyle w:val="None"/>
          <w:rFonts w:ascii="Times New Roman" w:hAnsi="Times New Roman" w:hint="default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подпись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Обычный"/>
        <w:ind w:firstLine="708"/>
        <w:jc w:val="both"/>
      </w:pP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* 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</w:t>
      </w:r>
      <w:r>
        <w:rPr>
          <w:rStyle w:val="None"/>
          <w:rFonts w:ascii="Times New Roman" w:hAnsi="Times New Roman"/>
          <w:i w:val="1"/>
          <w:i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работа выполнена авторским коллективом</w:t>
      </w:r>
      <w:r>
        <w:rPr>
          <w:rStyle w:val="None"/>
          <w:rFonts w:ascii="Times New Roman" w:hAnsi="Times New Roman"/>
          <w:i w:val="1"/>
          <w:i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None"/>
          <w:rFonts w:ascii="Times New Roman" w:hAnsi="Times New Roman" w:hint="default"/>
          <w:i w:val="1"/>
          <w:i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заявке указываются сведения о каждом участнике творческого коллектива</w:t>
      </w:r>
      <w:r>
        <w:rPr>
          <w:rStyle w:val="None"/>
          <w:rFonts w:ascii="Times New Roman" w:hAnsi="Times New Roman"/>
          <w:i w:val="1"/>
          <w:iCs w:val="1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Style w:val="None"/>
          <w:rFonts w:ascii="Times New Roman" w:hAnsi="Times New Roman"/>
          <w:outline w:val="0"/>
          <w:color w:val="000000"/>
          <w:sz w:val="30"/>
          <w:szCs w:val="3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2062"/>
        </w:tabs>
        <w:ind w:left="1211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565" w:firstLine="28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tabs>
          <w:tab w:val="num" w:pos="1547"/>
        </w:tabs>
        <w:ind w:left="696" w:firstLine="1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num" w:pos="1547"/>
        </w:tabs>
        <w:ind w:left="696" w:firstLine="1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696" w:firstLine="1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696" w:firstLine="15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949" w:firstLine="6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949" w:firstLine="62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309" w:firstLine="26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tabs>
          <w:tab w:val="num" w:pos="1465"/>
        </w:tabs>
        <w:ind w:left="614" w:firstLine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851" w:firstLine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062" w:firstLine="5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273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124" w:firstLine="1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335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6186" w:firstLine="6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080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tabs>
            <w:tab w:val="num" w:pos="1560"/>
          </w:tabs>
          <w:ind w:left="709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560"/>
          </w:tabs>
          <w:ind w:left="1211" w:firstLine="4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560"/>
          </w:tabs>
          <w:ind w:left="2422" w:firstLine="5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560"/>
          </w:tabs>
          <w:ind w:left="3273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560"/>
          </w:tabs>
          <w:ind w:left="4484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560"/>
          </w:tabs>
          <w:ind w:left="5335" w:firstLine="6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560"/>
          </w:tabs>
          <w:ind w:left="6372" w:firstLine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angļu" w:val="‘“(〔[{〈《「『【⦅〘〖«〝︵︷︹︻︽︿﹁﹃﹇﹙﹛﹝｢"/>
  <w:noLineBreaksBefore w:lang="angļ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1">
    <w:name w:val="List Paragraph1"/>
    <w:next w:val="List Paragraph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